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land-and-buildings-transaction-tax"/>
      <w:bookmarkEnd w:id="21"/>
      <w:r>
        <w:t xml:space="preserve">Land and Buildings Transaction Tax</w:t>
      </w:r>
    </w:p>
    <w:p>
      <w:r>
        <w:t xml:space="preserve">Land and Buildings Transaction Tax (LBTT) is payable by the purchaser in a land transaction which occurs in Scotland. These types of transaction would include a simple conveyance of land such as buying a house but also creating a lease or assigning a lease.</w:t>
      </w:r>
    </w:p>
    <w:p>
      <w:pPr>
        <w:pStyle w:val="Heading2"/>
      </w:pPr>
      <w:bookmarkStart w:id="22" w:name="who-pays-the-tax"/>
      <w:bookmarkEnd w:id="22"/>
      <w:r>
        <w:t xml:space="preserve">Who pays the tax?</w:t>
      </w:r>
    </w:p>
    <w:p>
      <w:r>
        <w:t xml:space="preserve">LBTT is payable by the purchaser in a land transaction Scotland.</w:t>
      </w:r>
    </w:p>
    <w:p>
      <w:pPr>
        <w:pStyle w:val="Heading2"/>
      </w:pPr>
      <w:bookmarkStart w:id="23" w:name="what-is-a-land-transaction"/>
      <w:bookmarkEnd w:id="23"/>
      <w:r>
        <w:t xml:space="preserve">What is a land transaction?</w:t>
      </w:r>
    </w:p>
    <w:p>
      <w:r>
        <w:t xml:space="preserve">A transaction will trigger liability if it involves the acquisition of an interest in land. This will include a simple conveyance of land such as buying a house, creating a lease or assigning a lease.</w:t>
      </w:r>
    </w:p>
    <w:p>
      <w:pPr>
        <w:pStyle w:val="Heading2"/>
      </w:pPr>
      <w:bookmarkStart w:id="24" w:name="when-is-the-tax-payable"/>
      <w:bookmarkEnd w:id="24"/>
      <w:r>
        <w:t xml:space="preserve">When is the tax payable?</w:t>
      </w:r>
    </w:p>
    <w:p>
      <w:r>
        <w:t xml:space="preserve">The tax has to be paid when a contract has been substantially performed. In cases where the purchaser takes possession of the property on completion that will be the date. However, if the purchaser effectively takes possession before completion - known as ‘resting on contract’ - that will be regarded as triggering the tax.</w:t>
      </w:r>
    </w:p>
    <w:p>
      <w:pPr>
        <w:pStyle w:val="Heading2"/>
      </w:pPr>
      <w:bookmarkStart w:id="25" w:name="land-and-buildings-transaction-tax-1"/>
      <w:bookmarkEnd w:id="25"/>
      <w:r>
        <w:t xml:space="preserve">Land and Buildings Transaction Tax</w:t>
      </w:r>
    </w:p>
    <w:p>
      <w:r>
        <w:t xml:space="preserve">Land and Buildings Transaction Tax (LBTT) is payable on land and property transactions in Scotland with an effective date on or after 1 April 2015.</w:t>
      </w:r>
    </w:p>
    <w:tbl>
      <w:tblPr>
        <w:tblStyle w:val="a8"/>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jc w:val="left"/>
        <w:tblW w:w="4750" w:type="pct"/>
      </w:tblPr>
      <w:tblGrid>
        <w:gridCol w:w="3960"/>
        <w:gridCol w:w="3960"/>
      </w:tblGrid>
      <w:tr>
        <w:tc>
          <w:p>
            <w:pPr>
              <w:jc w:val="left"/>
            </w:pPr>
            <w:r>
              <w:rPr>
                <w:b/>
              </w:rPr>
              <w:t xml:space="preserve">Residential property</w:t>
            </w:r>
          </w:p>
        </w:tc>
        <w:tc>
          <w:p>
            <w:pPr>
              <w:jc w:val="left"/>
            </w:pPr>
            <w:r>
              <w:rPr>
                <w:b/>
              </w:rPr>
              <w:t xml:space="preserve">Rate %</w:t>
            </w:r>
          </w:p>
        </w:tc>
      </w:tr>
      <w:tr>
        <w:tc>
          <w:p>
            <w:pPr>
              <w:jc w:val="left"/>
            </w:pPr>
            <w:r>
              <w:t xml:space="preserve">£0 - £145,000</w:t>
            </w:r>
          </w:p>
        </w:tc>
        <w:tc>
          <w:p>
            <w:pPr>
              <w:jc w:val="left"/>
            </w:pPr>
            <w:r>
              <w:t xml:space="preserve">0</w:t>
            </w:r>
          </w:p>
        </w:tc>
      </w:tr>
      <w:tr>
        <w:tc>
          <w:p>
            <w:pPr>
              <w:jc w:val="left"/>
            </w:pPr>
            <w:r>
              <w:t xml:space="preserve">£145,001 - £250,000</w:t>
            </w:r>
          </w:p>
        </w:tc>
        <w:tc>
          <w:p>
            <w:pPr>
              <w:jc w:val="left"/>
            </w:pPr>
            <w:r>
              <w:t xml:space="preserve">2</w:t>
            </w:r>
          </w:p>
        </w:tc>
      </w:tr>
      <w:tr>
        <w:tc>
          <w:p>
            <w:pPr>
              <w:jc w:val="left"/>
            </w:pPr>
            <w:r>
              <w:t xml:space="preserve">£250,001 - £325,000</w:t>
            </w:r>
          </w:p>
        </w:tc>
        <w:tc>
          <w:p>
            <w:pPr>
              <w:jc w:val="left"/>
            </w:pPr>
            <w:r>
              <w:t xml:space="preserve">5</w:t>
            </w:r>
          </w:p>
        </w:tc>
      </w:tr>
      <w:tr>
        <w:tc>
          <w:p>
            <w:pPr>
              <w:jc w:val="left"/>
            </w:pPr>
            <w:r>
              <w:t xml:space="preserve">£325,001 - £750,000</w:t>
            </w:r>
          </w:p>
        </w:tc>
        <w:tc>
          <w:p>
            <w:pPr>
              <w:jc w:val="left"/>
            </w:pPr>
            <w:r>
              <w:t xml:space="preserve">10</w:t>
            </w:r>
          </w:p>
        </w:tc>
      </w:tr>
      <w:tr>
        <w:tc>
          <w:p>
            <w:pPr>
              <w:jc w:val="left"/>
            </w:pPr>
            <w:r>
              <w:t xml:space="preserve">£750,001 and over</w:t>
            </w:r>
          </w:p>
        </w:tc>
        <w:tc>
          <w:p>
            <w:pPr>
              <w:jc w:val="left"/>
            </w:pPr>
            <w:r>
              <w:t xml:space="preserve">12</w:t>
            </w:r>
          </w:p>
        </w:tc>
      </w:tr>
    </w:tbl>
    <w:p>
      <w:r>
        <w:t xml:space="preserve">The rates apply to the portion of the total value which falls within each band.</w:t>
      </w:r>
    </w:p>
    <w:p>
      <w:pPr>
        <w:pStyle w:val="Heading2"/>
      </w:pPr>
      <w:bookmarkStart w:id="26" w:name="higher-rates-for-additional-residential-properties"/>
      <w:bookmarkEnd w:id="26"/>
      <w:r>
        <w:t xml:space="preserve">Higher rates for additional residential properties</w:t>
      </w:r>
    </w:p>
    <w:p>
      <w:r>
        <w:t xml:space="preserve">Higher rates of LBTT are charged in Scotland on purchases of additional residential properties (above £40,000), such as buy to let properties and second homes.</w:t>
      </w:r>
    </w:p>
    <w:p>
      <w:r>
        <w:t xml:space="preserve">The main target of the higher rates is purchases of buy to let properties or second homes. However, there will be some purchasers who will have to pay the additional charge even though the property purchased will not be a buy to let or a second home. The 18 month rules set out below will help to remove some transactions from the additional rates (or allow a refund). Care will be needed if an individual already owns, or partly owns, a property and transacts to purchase another property without having disposed of the first property.</w:t>
      </w:r>
    </w:p>
    <w:p>
      <w:r>
        <w:t xml:space="preserve">The higher rates are three percentage points above the LBTT rates shown in the table above. The higher rates potentially apply if, at the end of the day of the purchase transaction, the individual owns two or more residential properties.</w:t>
      </w:r>
    </w:p>
    <w:p>
      <w:r>
        <w:t xml:space="preserve">Some further detail:</w:t>
      </w:r>
    </w:p>
    <w:p>
      <w:pPr>
        <w:pStyle w:val="Compact"/>
        <w:numPr>
          <w:numId w:val="1001"/>
          <w:ilvl w:val="0"/>
        </w:numPr>
      </w:pPr>
      <w:r>
        <w:t xml:space="preserve">purchasers will have 18 months to claim a refund of the higher rates if they buy a new main residence before disposing of their previous main residence</w:t>
      </w:r>
    </w:p>
    <w:p>
      <w:pPr>
        <w:pStyle w:val="Compact"/>
        <w:numPr>
          <w:numId w:val="1001"/>
          <w:ilvl w:val="0"/>
        </w:numPr>
      </w:pPr>
      <w:r>
        <w:t xml:space="preserve">purchasers will also have 18 months between selling a main residence and replacing it with another main residence without having to pay the higher rates</w:t>
      </w:r>
    </w:p>
    <w:p>
      <w:pPr>
        <w:pStyle w:val="Compact"/>
        <w:numPr>
          <w:numId w:val="1001"/>
          <w:ilvl w:val="0"/>
        </w:numPr>
      </w:pPr>
      <w:r>
        <w:t xml:space="preserve">a small share in a property which has been inherited within the 18 months prior to a transaction will not be considered as an additional property when applying the higher rates</w:t>
      </w:r>
    </w:p>
    <w:p>
      <w:pPr>
        <w:pStyle w:val="Compact"/>
        <w:numPr>
          <w:numId w:val="1001"/>
          <w:ilvl w:val="0"/>
        </w:numPr>
      </w:pPr>
      <w:r>
        <w:t xml:space="preserve">there will be no exemption from the higher rates for significant investors</w:t>
      </w:r>
    </w:p>
    <w:p>
      <w:pPr>
        <w:pStyle w:val="Compact"/>
        <w:numPr>
          <w:numId w:val="1001"/>
          <w:ilvl w:val="0"/>
        </w:numPr>
      </w:pPr>
      <w:r>
        <w:t xml:space="preserve">LBTT has been enacted with 18 month periods rather than 36 months which applies for SDLT.</w:t>
      </w:r>
    </w:p>
    <w:tbl>
      <w:tblPr>
        <w:tblStyle w:val="a8"/>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jc w:val="left"/>
        <w:tblW w:w="4750" w:type="pct"/>
      </w:tblPr>
      <w:tblGrid>
        <w:gridCol w:w="3960"/>
        <w:gridCol w:w="3960"/>
      </w:tblGrid>
      <w:tr>
        <w:tc>
          <w:p>
            <w:pPr>
              <w:jc w:val="left"/>
            </w:pPr>
            <w:r>
              <w:rPr>
                <w:b/>
              </w:rPr>
              <w:t xml:space="preserve">Non-residential</w:t>
            </w:r>
          </w:p>
        </w:tc>
        <w:tc>
          <w:p>
            <w:pPr>
              <w:jc w:val="left"/>
            </w:pPr>
            <w:r>
              <w:rPr>
                <w:b/>
              </w:rPr>
              <w:t xml:space="preserve">Rate %</w:t>
            </w:r>
          </w:p>
        </w:tc>
      </w:tr>
      <w:tr>
        <w:tc>
          <w:p>
            <w:pPr>
              <w:jc w:val="left"/>
            </w:pPr>
            <w:r>
              <w:t xml:space="preserve">£0 - £150,000</w:t>
            </w:r>
          </w:p>
        </w:tc>
        <w:tc>
          <w:p>
            <w:pPr>
              <w:jc w:val="left"/>
            </w:pPr>
            <w:r>
              <w:t xml:space="preserve">0</w:t>
            </w:r>
          </w:p>
        </w:tc>
      </w:tr>
      <w:tr>
        <w:tc>
          <w:p>
            <w:pPr>
              <w:jc w:val="left"/>
            </w:pPr>
            <w:r>
              <w:t xml:space="preserve">£150,001 - £350,000</w:t>
            </w:r>
          </w:p>
        </w:tc>
        <w:tc>
          <w:p>
            <w:pPr>
              <w:jc w:val="left"/>
            </w:pPr>
            <w:r>
              <w:t xml:space="preserve">3</w:t>
            </w:r>
          </w:p>
        </w:tc>
      </w:tr>
      <w:tr>
        <w:tc>
          <w:p>
            <w:pPr>
              <w:jc w:val="left"/>
            </w:pPr>
            <w:r>
              <w:t xml:space="preserve">£350,001 and over</w:t>
            </w:r>
          </w:p>
        </w:tc>
        <w:tc>
          <w:p>
            <w:pPr>
              <w:jc w:val="left"/>
            </w:pPr>
            <w:r>
              <w:t xml:space="preserve">4.5</w:t>
            </w:r>
          </w:p>
        </w:tc>
      </w:tr>
    </w:tbl>
    <w:p>
      <w:r>
        <w:t xml:space="preserve">The Scottish government has LBTT calculators which work out the amount of LBTT payable. The calculators can be found at</w:t>
      </w:r>
      <w:r>
        <w:t xml:space="preserve"> </w:t>
      </w:r>
      <w:hyperlink r:id="rId27">
        <w:r>
          <w:rPr>
            <w:rStyle w:val="Link"/>
          </w:rPr>
          <w:t xml:space="preserve">www.revenue.scot/land-buildings-transaction-tax/tax-calculators</w:t>
        </w:r>
      </w:hyperlink>
      <w:r>
        <w:t xml:space="preserve">.</w:t>
      </w:r>
    </w:p>
    <w:p>
      <w:r>
        <w:t xml:space="preserve">For transactions prior to 1 April 2015 see the factsheet on Stamp Duty Land Tax.</w:t>
      </w:r>
    </w:p>
    <w:p>
      <w:pPr>
        <w:pStyle w:val="Heading2"/>
      </w:pPr>
      <w:bookmarkStart w:id="28" w:name="how-we-can-help"/>
      <w:bookmarkEnd w:id="28"/>
      <w:r>
        <w:t xml:space="preserve">How we can help</w:t>
      </w:r>
    </w:p>
    <w:p>
      <w:r>
        <w:t xml:space="preserve">If you are planning to enter into an arrangement to purchase land, we can advise you of the precise impact of LBTT on the transaction so please contact us.</w:t>
      </w:r>
    </w:p>
    <w:sectPr w:rsidR="0035037D" w:rsidSect="00E37019">
      <w:footerReference w:type="default" r:id="rId8"/>
      <w:pgSz w:w="11900" w:h="16820"/>
      <w:pgMar w:top="1247" w:right="1247" w:bottom="1418" w:left="1247" w:header="708"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FCC6" w14:textId="77777777" w:rsidR="00A02BBF" w:rsidRPr="00A02BBF" w:rsidRDefault="008E2057" w:rsidP="00A02BBF">
    <w:pPr>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Therefore no responsibility for loss occasioned by any person acting or refraining from action as a result of the material can be accepted by the authors or the firm.</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DEC554"/>
    <w:multiLevelType w:val="multilevel"/>
    <w:tmpl w:val="B6D207F8"/>
    <w:lvl w:ilvl="0">
      <w:start w:val="1"/>
      <w:numFmt w:val="decimal"/>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82AC9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0570D2D8"/>
    <w:lvl w:ilvl="0">
      <w:start w:val="1"/>
      <w:numFmt w:val="decimal"/>
      <w:lvlText w:val="%1."/>
      <w:lvlJc w:val="left"/>
      <w:pPr>
        <w:tabs>
          <w:tab w:val="num" w:pos="1492"/>
        </w:tabs>
        <w:ind w:left="1492" w:hanging="360"/>
      </w:pPr>
    </w:lvl>
  </w:abstractNum>
  <w:abstractNum w:abstractNumId="3">
    <w:nsid w:val="FFFFFF7D"/>
    <w:multiLevelType w:val="singleLevel"/>
    <w:tmpl w:val="003E9C4C"/>
    <w:lvl w:ilvl="0">
      <w:start w:val="1"/>
      <w:numFmt w:val="decimal"/>
      <w:lvlText w:val="%1."/>
      <w:lvlJc w:val="left"/>
      <w:pPr>
        <w:tabs>
          <w:tab w:val="num" w:pos="1209"/>
        </w:tabs>
        <w:ind w:left="1209" w:hanging="360"/>
      </w:pPr>
    </w:lvl>
  </w:abstractNum>
  <w:abstractNum w:abstractNumId="4">
    <w:nsid w:val="FFFFFF7E"/>
    <w:multiLevelType w:val="singleLevel"/>
    <w:tmpl w:val="83668044"/>
    <w:lvl w:ilvl="0">
      <w:start w:val="1"/>
      <w:numFmt w:val="decimal"/>
      <w:lvlText w:val="%1."/>
      <w:lvlJc w:val="left"/>
      <w:pPr>
        <w:tabs>
          <w:tab w:val="num" w:pos="926"/>
        </w:tabs>
        <w:ind w:left="926" w:hanging="360"/>
      </w:pPr>
    </w:lvl>
  </w:abstractNum>
  <w:abstractNum w:abstractNumId="5">
    <w:nsid w:val="FFFFFF7F"/>
    <w:multiLevelType w:val="singleLevel"/>
    <w:tmpl w:val="8E142F0C"/>
    <w:lvl w:ilvl="0">
      <w:start w:val="1"/>
      <w:numFmt w:val="decimal"/>
      <w:lvlText w:val="%1."/>
      <w:lvlJc w:val="left"/>
      <w:pPr>
        <w:tabs>
          <w:tab w:val="num" w:pos="643"/>
        </w:tabs>
        <w:ind w:left="643" w:hanging="360"/>
      </w:pPr>
    </w:lvl>
  </w:abstractNum>
  <w:abstractNum w:abstractNumId="6">
    <w:nsid w:val="FFFFFF80"/>
    <w:multiLevelType w:val="singleLevel"/>
    <w:tmpl w:val="DC2C0072"/>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D8ACC44"/>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BE6248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C8FACFF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242B68E"/>
    <w:lvl w:ilvl="0">
      <w:start w:val="1"/>
      <w:numFmt w:val="decimal"/>
      <w:lvlText w:val="%1."/>
      <w:lvlJc w:val="left"/>
      <w:pPr>
        <w:tabs>
          <w:tab w:val="num" w:pos="360"/>
        </w:tabs>
        <w:ind w:left="360" w:hanging="360"/>
      </w:pPr>
    </w:lvl>
  </w:abstractNum>
  <w:abstractNum w:abstractNumId="11">
    <w:nsid w:val="FFFFFF89"/>
    <w:multiLevelType w:val="singleLevel"/>
    <w:tmpl w:val="3BA6D16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21DB0449"/>
    <w:multiLevelType w:val="hybridMultilevel"/>
    <w:tmpl w:val="3A7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F4F8"/>
    <w:multiLevelType w:val="multilevel"/>
    <w:tmpl w:val="2494A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5B604CC"/>
    <w:multiLevelType w:val="multilevel"/>
    <w:tmpl w:val="48984A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1A63DD3"/>
    <w:multiLevelType w:val="multilevel"/>
    <w:tmpl w:val="5C64C8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5ba25d4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6877168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14"/>
  </w:num>
  <w:num w:numId="2">
    <w:abstractNumId w:val="0"/>
  </w:num>
  <w:num w:numId="3">
    <w:abstractNumId w:val="0"/>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12"/>
  </w:num>
  <w:num w:numId="17">
    <w:abstractNumId w:val="13"/>
  </w:num>
  <w:num w:numId="18">
    <w:abstractNumId w:val="15"/>
  </w:num>
  <w:num w:numId="19">
    <w:abstractNumId w:val="15"/>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7911"/>
    <w:pPr>
      <w:spacing w:before="180" w:after="180" w:line="264" w:lineRule="auto"/>
    </w:pPr>
    <w:rPr>
      <w:rFonts w:ascii="Arial" w:hAnsi="Arial"/>
      <w:sz w:val="20"/>
    </w:rPr>
  </w:style>
  <w:style w:type="paragraph" w:styleId="Heading1">
    <w:name w:val="heading 1"/>
    <w:basedOn w:val="Normal"/>
    <w:next w:val="Normal"/>
    <w:uiPriority w:val="9"/>
    <w:qFormat/>
    <w:rsid w:val="005167B0"/>
    <w:pPr>
      <w:keepNext/>
      <w:keepLines/>
      <w:spacing w:before="480" w:after="400"/>
      <w:outlineLvl w:val="0"/>
    </w:pPr>
    <w:rPr>
      <w:rFonts w:eastAsiaTheme="majorEastAsia" w:cstheme="majorBidi"/>
      <w:b/>
      <w:bCs/>
      <w:color w:val="000000" w:themeColor="text1"/>
      <w:sz w:val="48"/>
      <w:szCs w:val="48"/>
    </w:rPr>
  </w:style>
  <w:style w:type="paragraph" w:styleId="Heading2">
    <w:name w:val="heading 2"/>
    <w:basedOn w:val="Normal"/>
    <w:next w:val="Normal"/>
    <w:uiPriority w:val="9"/>
    <w:unhideWhenUsed/>
    <w:qFormat/>
    <w:rsid w:val="005F091A"/>
    <w:pPr>
      <w:keepNext/>
      <w:keepLines/>
      <w:spacing w:before="360" w:after="200"/>
      <w:outlineLvl w:val="1"/>
    </w:pPr>
    <w:rPr>
      <w:rFonts w:eastAsiaTheme="majorEastAsia" w:cstheme="majorBidi"/>
      <w:b/>
      <w:bCs/>
      <w:sz w:val="32"/>
      <w:szCs w:val="32"/>
    </w:rPr>
  </w:style>
  <w:style w:type="paragraph" w:styleId="Heading3">
    <w:name w:val="heading 3"/>
    <w:basedOn w:val="Normal"/>
    <w:next w:val="Normal"/>
    <w:uiPriority w:val="9"/>
    <w:unhideWhenUsed/>
    <w:qFormat/>
    <w:rsid w:val="008E2057"/>
    <w:pPr>
      <w:keepNext/>
      <w:keepLines/>
      <w:spacing w:before="200" w:after="200"/>
      <w:outlineLvl w:val="2"/>
    </w:pPr>
    <w:rPr>
      <w:rFonts w:eastAsiaTheme="majorEastAsia" w:cstheme="majorBidi"/>
      <w:b/>
      <w:bCs/>
      <w:sz w:val="28"/>
      <w:szCs w:val="28"/>
    </w:rPr>
  </w:style>
  <w:style w:type="paragraph" w:styleId="Heading4">
    <w:name w:val="heading 4"/>
    <w:basedOn w:val="Normal"/>
    <w:next w:val="Normal"/>
    <w:uiPriority w:val="9"/>
    <w:unhideWhenUsed/>
    <w:qFormat/>
    <w:rsid w:val="000F001B"/>
    <w:pPr>
      <w:keepNext/>
      <w:keepLines/>
      <w:spacing w:before="200" w:after="0"/>
      <w:outlineLvl w:val="3"/>
    </w:pPr>
    <w:rPr>
      <w:rFonts w:eastAsiaTheme="majorEastAsia" w:cstheme="majorBidi"/>
      <w:b/>
      <w:bCs/>
    </w:rPr>
  </w:style>
  <w:style w:type="paragraph" w:styleId="Heading5">
    <w:name w:val="heading 5"/>
    <w:basedOn w:val="Normal"/>
    <w:next w:val="Normal"/>
    <w:uiPriority w:val="9"/>
    <w:unhideWhenUsed/>
    <w:qFormat/>
    <w:rsid w:val="000F001B"/>
    <w:pPr>
      <w:keepNext/>
      <w:keepLines/>
      <w:spacing w:before="200" w:after="0"/>
      <w:outlineLvl w:val="4"/>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2604E6"/>
    <w:pPr>
      <w:spacing w:before="36" w:after="160"/>
    </w:pPr>
  </w:style>
  <w:style w:type="paragraph" w:styleId="Title">
    <w:name w:val="Title"/>
    <w:basedOn w:val="Normal"/>
    <w:next w:val="Normal"/>
    <w:qFormat/>
    <w:rsid w:val="00920130"/>
    <w:pPr>
      <w:keepNext/>
      <w:keepLines/>
      <w:spacing w:before="0" w:after="360"/>
    </w:pPr>
    <w:rPr>
      <w:rFonts w:eastAsiaTheme="majorEastAsia" w:cstheme="majorBidi"/>
      <w:bCs/>
      <w:i/>
      <w:color w:val="7F7F7F" w:themeColor="text1" w:themeTint="80"/>
      <w:sz w:val="28"/>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sid w:val="00C66BC3"/>
    <w:rPr>
      <w:rFonts w:ascii="Arial" w:hAnsi="Arial"/>
      <w:color w:val="0000FF"/>
      <w:u w:val="single"/>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1">
    <w:name w:val="Body Text Char1"/>
    <w:basedOn w:val="DefaultParagraphFont"/>
    <w:link w:val="BodyText"/>
    <w:rsid w:val="004D2473"/>
    <w:rPr>
      <w:rFonts w:ascii="Arial" w:hAnsi="Arial"/>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character" w:styleId="Hyperlink">
    <w:name w:val="Hyperlink"/>
    <w:basedOn w:val="DefaultParagraphFont"/>
    <w:rsid w:val="00C66BC3"/>
    <w:rPr>
      <w:color w:val="0000FF" w:themeColor="hyperlink"/>
      <w:u w:val="single"/>
    </w:rPr>
  </w:style>
  <w:style w:type="paragraph" w:customStyle="1" w:styleId="SourceCode2">
    <w:name w:val="Source Code"/>
    <w:basedOn w:val="Normal"/>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table" w:styleId="TableGrid">
    <w:name w:val="Table Grid"/>
    <w:basedOn w:val="TableNormal"/>
    <w:rsid w:val="00261C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Code3">
    <w:name w:val="Source Code"/>
    <w:basedOn w:val="Normal"/>
    <w:pPr>
      <w:wordWrap w:val="0"/>
    </w:pPr>
  </w:style>
  <w:style w:type="character" w:customStyle="1" w:styleId="KeywordTok2">
    <w:name w:val="KeywordTok"/>
    <w:basedOn w:val="VerbatimChar"/>
    <w:rPr>
      <w:rFonts w:ascii="Consolas" w:hAnsi="Consolas"/>
      <w:b/>
      <w:color w:val="007020"/>
      <w:sz w:val="22"/>
    </w:rPr>
  </w:style>
  <w:style w:type="character" w:customStyle="1" w:styleId="DataTypeTok2">
    <w:name w:val="DataTypeTok"/>
    <w:basedOn w:val="VerbatimChar"/>
    <w:rPr>
      <w:rFonts w:ascii="Consolas" w:hAnsi="Consolas"/>
      <w:color w:val="902000"/>
      <w:sz w:val="22"/>
    </w:rPr>
  </w:style>
  <w:style w:type="character" w:customStyle="1" w:styleId="DecValTok2">
    <w:name w:val="DecValTok"/>
    <w:basedOn w:val="VerbatimChar"/>
    <w:rPr>
      <w:rFonts w:ascii="Consolas" w:hAnsi="Consolas"/>
      <w:color w:val="40A070"/>
      <w:sz w:val="22"/>
    </w:rPr>
  </w:style>
  <w:style w:type="character" w:customStyle="1" w:styleId="BaseNTok2">
    <w:name w:val="BaseNTok"/>
    <w:basedOn w:val="VerbatimChar"/>
    <w:rPr>
      <w:rFonts w:ascii="Consolas" w:hAnsi="Consolas"/>
      <w:color w:val="40A070"/>
      <w:sz w:val="22"/>
    </w:rPr>
  </w:style>
  <w:style w:type="character" w:customStyle="1" w:styleId="FloatTok2">
    <w:name w:val="FloatTok"/>
    <w:basedOn w:val="VerbatimChar"/>
    <w:rPr>
      <w:rFonts w:ascii="Consolas" w:hAnsi="Consolas"/>
      <w:color w:val="40A070"/>
      <w:sz w:val="22"/>
    </w:rPr>
  </w:style>
  <w:style w:type="character" w:customStyle="1" w:styleId="CharTok2">
    <w:name w:val="CharTok"/>
    <w:basedOn w:val="VerbatimChar"/>
    <w:rPr>
      <w:rFonts w:ascii="Consolas" w:hAnsi="Consolas"/>
      <w:color w:val="4070A0"/>
      <w:sz w:val="22"/>
    </w:rPr>
  </w:style>
  <w:style w:type="character" w:customStyle="1" w:styleId="StringTok2">
    <w:name w:val="StringTok"/>
    <w:basedOn w:val="VerbatimChar"/>
    <w:rPr>
      <w:rFonts w:ascii="Consolas" w:hAnsi="Consolas"/>
      <w:color w:val="4070A0"/>
      <w:sz w:val="22"/>
    </w:rPr>
  </w:style>
  <w:style w:type="character" w:customStyle="1" w:styleId="CommentTok2">
    <w:name w:val="CommentTok"/>
    <w:basedOn w:val="VerbatimChar"/>
    <w:rPr>
      <w:rFonts w:ascii="Consolas" w:hAnsi="Consolas"/>
      <w:i/>
      <w:color w:val="60A0B0"/>
      <w:sz w:val="22"/>
    </w:rPr>
  </w:style>
  <w:style w:type="character" w:customStyle="1" w:styleId="OtherTok2">
    <w:name w:val="OtherTok"/>
    <w:basedOn w:val="VerbatimChar"/>
    <w:rPr>
      <w:rFonts w:ascii="Consolas" w:hAnsi="Consolas"/>
      <w:color w:val="007020"/>
      <w:sz w:val="22"/>
    </w:rPr>
  </w:style>
  <w:style w:type="character" w:customStyle="1" w:styleId="AlertTok2">
    <w:name w:val="AlertTok"/>
    <w:basedOn w:val="VerbatimChar"/>
    <w:rPr>
      <w:rFonts w:ascii="Consolas" w:hAnsi="Consolas"/>
      <w:b/>
      <w:color w:val="FF0000"/>
      <w:sz w:val="22"/>
    </w:rPr>
  </w:style>
  <w:style w:type="character" w:customStyle="1" w:styleId="FunctionTok2">
    <w:name w:val="FunctionTok"/>
    <w:basedOn w:val="VerbatimChar"/>
    <w:rPr>
      <w:rFonts w:ascii="Consolas" w:hAnsi="Consolas"/>
      <w:color w:val="06287E"/>
      <w:sz w:val="22"/>
    </w:rPr>
  </w:style>
  <w:style w:type="character" w:customStyle="1" w:styleId="RegionMarkerTok2">
    <w:name w:val="RegionMarkerTok"/>
    <w:basedOn w:val="VerbatimChar"/>
    <w:rPr>
      <w:rFonts w:ascii="Consolas" w:hAnsi="Consolas"/>
      <w:sz w:val="22"/>
    </w:rPr>
  </w:style>
  <w:style w:type="character" w:customStyle="1" w:styleId="ErrorTok2">
    <w:name w:val="ErrorTok"/>
    <w:basedOn w:val="VerbatimChar"/>
    <w:rPr>
      <w:rFonts w:ascii="Consolas" w:hAnsi="Consolas"/>
      <w:b/>
      <w:color w:val="FF0000"/>
      <w:sz w:val="22"/>
    </w:rPr>
  </w:style>
  <w:style w:type="character" w:customStyle="1" w:styleId="NormalTok2">
    <w:name w:val="NormalTok"/>
    <w:basedOn w:val="VerbatimChar"/>
    <w:rPr>
      <w:rFonts w:ascii="Consolas" w:hAnsi="Consolas"/>
      <w:sz w:val="22"/>
    </w:rPr>
  </w:style>
  <w:style w:type="paragraph" w:styleId="ListBullet">
    <w:name w:val="List Bullet"/>
    <w:basedOn w:val="Normal"/>
    <w:rsid w:val="00684CCA"/>
    <w:pPr>
      <w:numPr>
        <w:numId w:val="5"/>
      </w:numPr>
      <w:tabs>
        <w:tab w:val="clear" w:pos="360"/>
        <w:tab w:val="left" w:pos="227"/>
      </w:tabs>
      <w:ind w:left="227" w:hanging="227"/>
      <w:contextualSpacing/>
    </w:pPr>
  </w:style>
  <w:style w:type="table" w:customStyle="1" w:styleId="enews">
    <w:name w:val="enews"/>
    <w:basedOn w:val="TableNormal"/>
    <w:uiPriority w:val="99"/>
    <w:rsid w:val="001D77A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81421"/>
    <w:pPr>
      <w:ind w:left="720"/>
    </w:pPr>
  </w:style>
  <w:style w:type="paragraph" w:styleId="Header">
    <w:name w:val="header"/>
    <w:basedOn w:val="Normal"/>
    <w:link w:val="HeaderChar"/>
    <w:rsid w:val="00A02BBF"/>
    <w:pPr>
      <w:tabs>
        <w:tab w:val="center" w:pos="4320"/>
        <w:tab w:val="right" w:pos="8640"/>
      </w:tabs>
      <w:spacing w:before="0" w:after="0" w:line="240" w:lineRule="auto"/>
    </w:pPr>
  </w:style>
  <w:style w:type="character" w:customStyle="1" w:styleId="HeaderChar">
    <w:name w:val="Header Char"/>
    <w:basedOn w:val="DefaultParagraphFont"/>
    <w:link w:val="Header"/>
    <w:rsid w:val="00A02BBF"/>
    <w:rPr>
      <w:rFonts w:ascii="Arial" w:hAnsi="Arial"/>
      <w:sz w:val="20"/>
    </w:rPr>
  </w:style>
  <w:style w:type="paragraph" w:styleId="Footer">
    <w:name w:val="footer"/>
    <w:basedOn w:val="Normal"/>
    <w:link w:val="FooterChar"/>
    <w:rsid w:val="00A02BBF"/>
    <w:pPr>
      <w:tabs>
        <w:tab w:val="center" w:pos="4320"/>
        <w:tab w:val="right" w:pos="8640"/>
      </w:tabs>
      <w:spacing w:before="0" w:after="0" w:line="240" w:lineRule="auto"/>
    </w:pPr>
  </w:style>
  <w:style w:type="character" w:customStyle="1" w:styleId="FooterChar">
    <w:name w:val="Footer Char"/>
    <w:basedOn w:val="DefaultParagraphFont"/>
    <w:link w:val="Footer"/>
    <w:rsid w:val="00A02BBF"/>
    <w:rPr>
      <w:rFonts w:ascii="Arial" w:hAnsi="Arial"/>
      <w:sz w:val="20"/>
    </w:rPr>
  </w:style>
  <w:style w:type="paragraph" w:customStyle="1" w:styleId="SourceCode">
    <w:name w:val="Source Code"/>
    <w:basedOn w:val="Normal"/>
    <w:link w:val="VerbatimChar"/>
    <w:pPr>
      <w:wordWrap w:val="0"/>
    </w:pPr>
  </w:style>
  <w:style w:type="character" w:customStyle="1" w:styleId="KeywordTok3">
    <w:name w:val="KeywordTok"/>
    <w:basedOn w:val="VerbatimChar"/>
    <w:rPr>
      <w:rFonts w:ascii="Consolas" w:hAnsi="Consolas"/>
      <w:b/>
      <w:color w:val="007020"/>
      <w:sz w:val="22"/>
    </w:rPr>
  </w:style>
  <w:style w:type="character" w:customStyle="1" w:styleId="DataTypeTok3">
    <w:name w:val="DataTypeTok"/>
    <w:basedOn w:val="VerbatimChar"/>
    <w:rPr>
      <w:rFonts w:ascii="Consolas" w:hAnsi="Consolas"/>
      <w:color w:val="902000"/>
      <w:sz w:val="22"/>
    </w:rPr>
  </w:style>
  <w:style w:type="character" w:customStyle="1" w:styleId="DecValTok3">
    <w:name w:val="DecValTok"/>
    <w:basedOn w:val="VerbatimChar"/>
    <w:rPr>
      <w:rFonts w:ascii="Consolas" w:hAnsi="Consolas"/>
      <w:color w:val="40A070"/>
      <w:sz w:val="22"/>
    </w:rPr>
  </w:style>
  <w:style w:type="character" w:customStyle="1" w:styleId="BaseNTok3">
    <w:name w:val="BaseNTok"/>
    <w:basedOn w:val="VerbatimChar"/>
    <w:rPr>
      <w:rFonts w:ascii="Consolas" w:hAnsi="Consolas"/>
      <w:color w:val="40A070"/>
      <w:sz w:val="22"/>
    </w:rPr>
  </w:style>
  <w:style w:type="character" w:customStyle="1" w:styleId="FloatTok3">
    <w:name w:val="FloatTok"/>
    <w:basedOn w:val="VerbatimChar"/>
    <w:rPr>
      <w:rFonts w:ascii="Consolas" w:hAnsi="Consolas"/>
      <w:color w:val="40A070"/>
      <w:sz w:val="22"/>
    </w:rPr>
  </w:style>
  <w:style w:type="character" w:customStyle="1" w:styleId="CharTok3">
    <w:name w:val="CharTok"/>
    <w:basedOn w:val="VerbatimChar"/>
    <w:rPr>
      <w:rFonts w:ascii="Consolas" w:hAnsi="Consolas"/>
      <w:color w:val="4070A0"/>
      <w:sz w:val="22"/>
    </w:rPr>
  </w:style>
  <w:style w:type="character" w:customStyle="1" w:styleId="StringTok3">
    <w:name w:val="StringTok"/>
    <w:basedOn w:val="VerbatimChar"/>
    <w:rPr>
      <w:rFonts w:ascii="Consolas" w:hAnsi="Consolas"/>
      <w:color w:val="4070A0"/>
      <w:sz w:val="22"/>
    </w:rPr>
  </w:style>
  <w:style w:type="character" w:customStyle="1" w:styleId="CommentTok3">
    <w:name w:val="CommentTok"/>
    <w:basedOn w:val="VerbatimChar"/>
    <w:rPr>
      <w:rFonts w:ascii="Consolas" w:hAnsi="Consolas"/>
      <w:i/>
      <w:color w:val="60A0B0"/>
      <w:sz w:val="22"/>
    </w:rPr>
  </w:style>
  <w:style w:type="character" w:customStyle="1" w:styleId="OtherTok3">
    <w:name w:val="OtherTok"/>
    <w:basedOn w:val="VerbatimChar"/>
    <w:rPr>
      <w:rFonts w:ascii="Consolas" w:hAnsi="Consolas"/>
      <w:color w:val="007020"/>
      <w:sz w:val="22"/>
    </w:rPr>
  </w:style>
  <w:style w:type="character" w:customStyle="1" w:styleId="AlertTok3">
    <w:name w:val="AlertTok"/>
    <w:basedOn w:val="VerbatimChar"/>
    <w:rPr>
      <w:rFonts w:ascii="Consolas" w:hAnsi="Consolas"/>
      <w:b/>
      <w:color w:val="FF0000"/>
      <w:sz w:val="22"/>
    </w:rPr>
  </w:style>
  <w:style w:type="character" w:customStyle="1" w:styleId="FunctionTok3">
    <w:name w:val="FunctionTok"/>
    <w:basedOn w:val="VerbatimChar"/>
    <w:rPr>
      <w:rFonts w:ascii="Consolas" w:hAnsi="Consolas"/>
      <w:color w:val="06287E"/>
      <w:sz w:val="22"/>
    </w:rPr>
  </w:style>
  <w:style w:type="character" w:customStyle="1" w:styleId="RegionMarkerTok3">
    <w:name w:val="RegionMarkerTok"/>
    <w:basedOn w:val="VerbatimChar"/>
    <w:rPr>
      <w:rFonts w:ascii="Consolas" w:hAnsi="Consolas"/>
      <w:sz w:val="22"/>
    </w:rPr>
  </w:style>
  <w:style w:type="character" w:customStyle="1" w:styleId="ErrorTok3">
    <w:name w:val="ErrorTok"/>
    <w:basedOn w:val="VerbatimChar"/>
    <w:rPr>
      <w:rFonts w:ascii="Consolas" w:hAnsi="Consolas"/>
      <w:b/>
      <w:color w:val="FF0000"/>
      <w:sz w:val="22"/>
    </w:rPr>
  </w:style>
  <w:style w:type="character" w:customStyle="1" w:styleId="NormalTok3">
    <w:name w:val="NormalTok"/>
    <w:basedOn w:val="VerbatimChar"/>
    <w:rPr>
      <w:rFonts w:ascii="Consolas" w:hAnsi="Consolas"/>
      <w:sz w:val="22"/>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footer" Target="footer1.xml" /><Relationship Type="http://schemas.openxmlformats.org/officeDocument/2006/relationships/hyperlink" Id="rId27" Target="https://www.revenue.scot/land-buildings-transaction-tax/tax-calculators" TargetMode="External" /></Relationships>
</file>

<file path=word/_rels/footnotes.xml.rels><?xml version="1.0" encoding="UTF-8"?>
<Relationships xmlns="http://schemas.openxmlformats.org/package/2006/relationships"><Relationship Type="http://schemas.openxmlformats.org/officeDocument/2006/relationships/hyperlink" Id="rId27" Target="https://www.revenue.scot/land-buildings-transaction-tax/tax-calculato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1466</Words>
  <Characters>8357</Characters>
  <Application>Microsoft Macintosh Word</Application>
  <DocSecurity>0</DocSecurity>
  <Lines>69</Lines>
  <Paragraphs>19</Paragraphs>
  <ScaleCrop>false</ScaleCrop>
  <Company>Mercia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